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2016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byly v roce 2017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 4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obce a informace o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tu uvoln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zastupitel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valy jak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tak fyzick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o informace nebyly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ny;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byly zaevidov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obce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31. 1. 2018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