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2016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byla v roce 2016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na 1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ch obce.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podala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osoba (s.r.o.).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informace nebyla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na;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byla zaevidov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pt-PT"/>
        </w:rPr>
        <w:t>a mailov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komunikace se 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obce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23. 1. 2017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