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vazn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vyhl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. 4/2010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ze dne 17. prosince 2010</w:t>
      </w:r>
    </w:p>
    <w:p>
      <w:pPr>
        <w:pStyle w:val="Normální"/>
        <w:jc w:val="center"/>
        <w:rPr>
          <w:rFonts w:ascii="Palatino Linotype" w:cs="Palatino Linotype" w:hAnsi="Palatino Linotype" w:eastAsia="Palatino Linotype"/>
          <w:b w:val="1"/>
          <w:bCs w:val="1"/>
          <w:sz w:val="26"/>
          <w:szCs w:val="26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 m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stn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m poplatku </w:t>
      </w:r>
      <w:r>
        <w:rPr>
          <w:rFonts w:ascii="Palatino Linotype" w:cs="Palatino Linotype" w:hAnsi="Palatino Linotype" w:eastAsia="Palatino Linotype"/>
          <w:b w:val="1"/>
          <w:bCs w:val="1"/>
          <w:sz w:val="26"/>
          <w:szCs w:val="26"/>
          <w:rtl w:val="0"/>
        </w:rPr>
        <w:t>z ubytovac</w:t>
      </w:r>
      <w:r>
        <w:rPr>
          <w:rFonts w:ascii="Palatino Linotype" w:cs="Palatino Linotype" w:hAnsi="Palatino Linotype" w:eastAsia="Palatino Linotype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6"/>
          <w:szCs w:val="26"/>
          <w:rtl w:val="0"/>
        </w:rPr>
        <w:t>kapacity</w:t>
      </w:r>
    </w:p>
    <w:p>
      <w:pPr>
        <w:pStyle w:val="Základní text odsazený"/>
        <w:spacing w:after="120"/>
        <w:rPr>
          <w:rFonts w:ascii="Palatino Linotype" w:cs="Palatino Linotype" w:hAnsi="Palatino Linotype" w:eastAsia="Palatino Linotype"/>
        </w:rPr>
      </w:pPr>
    </w:p>
    <w:p>
      <w:pPr>
        <w:pStyle w:val="Základní text odsazený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Zastupitelstvo obce Hvozdnice se na sv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zased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dne 17. prosince 2010 usnesen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7 usneslo vydat na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14 odst. 2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565/1990 Sb.,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poplatc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a v souladu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10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sm. d) a 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84 odst. 2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 h)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128/2000 Sb., o obc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(obecn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),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tuto 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vaznou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ku 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):</w:t>
      </w:r>
    </w:p>
    <w:p>
      <w:pPr>
        <w:pStyle w:val="Normální"/>
        <w:jc w:val="both"/>
        <w:rPr>
          <w:rFonts w:ascii="Palatino Linotype" w:cs="Palatino Linotype" w:hAnsi="Palatino Linotype" w:eastAsia="Palatino Linotype"/>
        </w:rPr>
      </w:pPr>
    </w:p>
    <w:p>
      <w:pPr>
        <w:pStyle w:val="Nadpis 1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1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</w:p>
    <w:p>
      <w:pPr>
        <w:pStyle w:val="Normální"/>
        <w:spacing w:after="120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1)</w:t>
        <w:tab/>
        <w:t>Obec Hvozdnice zav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touto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kou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poplatek z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ubytovac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kapacity ve smyslu 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 e)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565/1990 Sb.,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poplatc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poplatek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).</w:t>
      </w:r>
    </w:p>
    <w:p>
      <w:pPr>
        <w:pStyle w:val="Normální"/>
        <w:spacing w:after="120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2) </w:t>
        <w:tab/>
        <w:tab/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 poplatku vykon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vce poplatku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).</w:t>
      </w:r>
      <w:r>
        <w:rPr>
          <w:rFonts w:ascii="Palatino Linotype" w:cs="Palatino Linotype" w:hAnsi="Palatino Linotype" w:eastAsia="Palatino Linotype"/>
          <w:vertAlign w:val="superscript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vertAlign w:val="superscript"/>
        </w:rPr>
        <w:footnoteReference w:id="1"/>
      </w:r>
      <w:r>
        <w:rPr>
          <w:rFonts w:ascii="Palatino Linotype" w:cs="Palatino Linotype" w:hAnsi="Palatino Linotype" w:eastAsia="Palatino Linotype"/>
          <w:rtl w:val="0"/>
        </w:rPr>
        <w:t xml:space="preserve"> 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2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 poplatku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</w:rPr>
        <w:tab/>
      </w:r>
      <w:r>
        <w:rPr>
          <w:rFonts w:ascii="Palatino Linotype" w:cs="Palatino Linotype" w:hAnsi="Palatino Linotype" w:eastAsia="Palatino Linotype"/>
          <w:rtl w:val="0"/>
        </w:rPr>
        <w:t>Poplatek z ubytovac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kapacity se vyb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 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ur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echodn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ubytov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za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platu.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2"/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3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Poplatn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rtl w:val="0"/>
        </w:rPr>
        <w:tab/>
        <w:t>Poplatek plat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ubytovatel, kter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je fyzick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nebo 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vnick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osoba,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echodn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ubytov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poskytla.</w:t>
      </w:r>
    </w:p>
    <w:p>
      <w:pPr>
        <w:pStyle w:val="Čísla článků"/>
        <w:spacing w:before="0"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4</w:t>
      </w:r>
    </w:p>
    <w:p>
      <w:pPr>
        <w:pStyle w:val="Názvy článků"/>
        <w:spacing w:before="0"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Ohla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ovac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povinnost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1) </w:t>
        <w:tab/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(ubytovatel) je povinen ohl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sit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vci poplatku vznik sv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poplatkov</w:t>
      </w:r>
      <w:r>
        <w:rPr>
          <w:rFonts w:ascii="Palatino Linotype" w:cs="Palatino Linotype" w:hAnsi="Palatino Linotype" w:eastAsia="Palatino Linotype"/>
          <w:rtl w:val="0"/>
        </w:rPr>
        <w:t xml:space="preserve">é </w:t>
        <w:tab/>
      </w:r>
      <w:r>
        <w:rPr>
          <w:rFonts w:ascii="Palatino Linotype" w:cs="Palatino Linotype" w:hAnsi="Palatino Linotype" w:eastAsia="Palatino Linotype"/>
          <w:rtl w:val="0"/>
        </w:rPr>
        <w:t>povinnosti do 30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od zah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jen</w:t>
      </w:r>
      <w:r>
        <w:rPr>
          <w:rFonts w:ascii="Palatino Linotype" w:cs="Palatino Linotype" w:hAnsi="Palatino Linotype" w:eastAsia="Palatino Linotype"/>
          <w:rtl w:val="0"/>
        </w:rPr>
        <w:t>í č</w:t>
      </w:r>
      <w:r>
        <w:rPr>
          <w:rFonts w:ascii="Palatino Linotype" w:cs="Palatino Linotype" w:hAnsi="Palatino Linotype" w:eastAsia="Palatino Linotype"/>
          <w:rtl w:val="0"/>
        </w:rPr>
        <w:t>innosti spo</w:t>
      </w: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vaj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  <w:tab/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echodn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ubytov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za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platu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ur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echodn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mu </w:t>
        <w:tab/>
        <w:t>ubytov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 Stejn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zp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sobem ohl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ubytovatel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vci poplatku ukon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  <w:tab/>
        <w:t>č</w:t>
      </w:r>
      <w:r>
        <w:rPr>
          <w:rFonts w:ascii="Palatino Linotype" w:cs="Palatino Linotype" w:hAnsi="Palatino Linotype" w:eastAsia="Palatino Linotype"/>
          <w:rtl w:val="0"/>
        </w:rPr>
        <w:t>innosti spo</w:t>
      </w: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vaj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echodn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ubytov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za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platu.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2)</w:t>
        <w:tab/>
        <w:t>V ohl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(ubytovatel) uvede</w:t>
      </w:r>
      <w:r>
        <w:rPr>
          <w:rFonts w:ascii="Palatino Linotype" w:cs="Palatino Linotype" w:hAnsi="Palatino Linotype" w:eastAsia="Palatino Linotype"/>
          <w:vertAlign w:val="superscript"/>
        </w:rPr>
        <w:footnoteReference w:id="3"/>
      </w:r>
    </w:p>
    <w:p>
      <w:pPr>
        <w:pStyle w:val="Normální"/>
        <w:numPr>
          <w:ilvl w:val="1"/>
          <w:numId w:val="2"/>
        </w:numPr>
        <w:bidi w:val="0"/>
        <w:spacing w:after="12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no, pop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na, a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jmen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nebo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zev nebo obchodn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firmu, obecn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identifik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tor podle 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127 odst. 1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280/2009 Sb., da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ý řá</w:t>
      </w:r>
      <w:r>
        <w:rPr>
          <w:rFonts w:ascii="Palatino Linotype" w:cs="Palatino Linotype" w:hAnsi="Palatino Linotype" w:eastAsia="Palatino Linotype"/>
          <w:rtl w:val="0"/>
        </w:rPr>
        <w:t>d 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da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ý řá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), byl-li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len,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 pobytu nebo 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dlo,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 podnik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pop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dal</w:t>
      </w:r>
      <w:r>
        <w:rPr>
          <w:rFonts w:ascii="Palatino Linotype" w:cs="Palatino Linotype" w:hAnsi="Palatino Linotype" w:eastAsia="Palatino Linotype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rtl w:val="0"/>
        </w:rPr>
        <w:t>adresy pro doru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; 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vnick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osoba uvede t</w:t>
      </w:r>
      <w:r>
        <w:rPr>
          <w:rFonts w:ascii="Palatino Linotype" w:cs="Palatino Linotype" w:hAnsi="Palatino Linotype" w:eastAsia="Palatino Linotype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rtl w:val="0"/>
        </w:rPr>
        <w:t>osoby, kter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jsou jej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nem opr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ny jednat v poplatkov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cech,</w:t>
      </w:r>
    </w:p>
    <w:p>
      <w:pPr>
        <w:pStyle w:val="Normální"/>
        <w:numPr>
          <w:ilvl w:val="1"/>
          <w:numId w:val="2"/>
        </w:numPr>
        <w:bidi w:val="0"/>
        <w:spacing w:after="12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sla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ech sv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úč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u poskytovatel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platebn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slu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eb, 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etn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poskytovatel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chto slu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eb v zahrani</w:t>
      </w: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,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van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 xml:space="preserve">ch v souvislosti s podnikatelskou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t poplatku souvis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s podnikatelskou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ka,</w:t>
      </w:r>
    </w:p>
    <w:p>
      <w:pPr>
        <w:pStyle w:val="Normální"/>
        <w:numPr>
          <w:ilvl w:val="1"/>
          <w:numId w:val="2"/>
        </w:numPr>
        <w:bidi w:val="0"/>
        <w:spacing w:after="12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dal</w:t>
      </w:r>
      <w:r>
        <w:rPr>
          <w:rFonts w:ascii="Palatino Linotype" w:cs="Palatino Linotype" w:hAnsi="Palatino Linotype" w:eastAsia="Palatino Linotype"/>
          <w:rtl w:val="0"/>
        </w:rPr>
        <w:t>ší ú</w:t>
      </w:r>
      <w:r>
        <w:rPr>
          <w:rFonts w:ascii="Palatino Linotype" w:cs="Palatino Linotype" w:hAnsi="Palatino Linotype" w:eastAsia="Palatino Linotype"/>
          <w:rtl w:val="0"/>
        </w:rPr>
        <w:t>daje a skute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nosti rozhodn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pro stanoven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e poplatkov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povinnosti, 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etn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skute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rok na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levu nebo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osvobozen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od poplatkov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povinnosti.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3)</w:t>
        <w:tab/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k, kter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nem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dlo nebo bydli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zem</w:t>
      </w:r>
      <w:r>
        <w:rPr>
          <w:rFonts w:ascii="Palatino Linotype" w:cs="Palatino Linotype" w:hAnsi="Palatino Linotype" w:eastAsia="Palatino Linotype"/>
          <w:rtl w:val="0"/>
        </w:rPr>
        <w:t>í č</w:t>
      </w:r>
      <w:r>
        <w:rPr>
          <w:rFonts w:ascii="Palatino Linotype" w:cs="Palatino Linotype" w:hAnsi="Palatino Linotype" w:eastAsia="Palatino Linotype"/>
          <w:rtl w:val="0"/>
        </w:rPr>
        <w:t>lensk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st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tu Evropsk</w:t>
      </w:r>
      <w:r>
        <w:rPr>
          <w:rFonts w:ascii="Palatino Linotype" w:cs="Palatino Linotype" w:hAnsi="Palatino Linotype" w:eastAsia="Palatino Linotype"/>
          <w:rtl w:val="0"/>
        </w:rPr>
        <w:t xml:space="preserve">é </w:t>
        <w:tab/>
      </w:r>
      <w:r>
        <w:rPr>
          <w:rFonts w:ascii="Palatino Linotype" w:cs="Palatino Linotype" w:hAnsi="Palatino Linotype" w:eastAsia="Palatino Linotype"/>
          <w:rtl w:val="0"/>
        </w:rPr>
        <w:t>unie, jin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smluvn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st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tu Dohody o Evropsk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hospod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m prostoru </w:t>
        <w:tab/>
        <w:t xml:space="preserve">nebo 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carsk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konfederace, uvede krom</w:t>
      </w:r>
      <w:r>
        <w:rPr>
          <w:rFonts w:ascii="Palatino Linotype" w:cs="Palatino Linotype" w:hAnsi="Palatino Linotype" w:eastAsia="Palatino Linotype"/>
          <w:rtl w:val="0"/>
        </w:rPr>
        <w:t>ě 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po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adovan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 xml:space="preserve">ch v odstavci 2 </w:t>
        <w:tab/>
        <w:t>adresu sv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zmocn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nce v tuzemsku pro doru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4"/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4)</w:t>
        <w:tab/>
        <w:t>Dojde-li ke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ě 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uveden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v ohl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je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povinen tuto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nu </w:t>
        <w:tab/>
        <w:t>ozn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mit do 15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ode dne, kdy nastala.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5"/>
      </w:r>
      <w:r>
        <w:rPr>
          <w:rFonts w:ascii="Palatino Linotype" w:cs="Palatino Linotype" w:hAnsi="Palatino Linotype" w:eastAsia="Palatino Linotype"/>
          <w:rtl w:val="0"/>
        </w:rPr>
        <w:t xml:space="preserve"> 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5)</w:t>
        <w:tab/>
        <w:t>Ubytovatel je povinen 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st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semn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podob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eviden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knihu, do kter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 xml:space="preserve">zapisuje </w:t>
        <w:tab/>
        <w:t>dobu ubytov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no,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jmen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adresu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sta trval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pobytu nebo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sta </w:t>
        <w:tab/>
        <w:t>trval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bydli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v zahrani</w:t>
      </w:r>
      <w:r>
        <w:rPr>
          <w:rFonts w:ascii="Palatino Linotype" w:cs="Palatino Linotype" w:hAnsi="Palatino Linotype" w:eastAsia="Palatino Linotype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slo ob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ansk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kazu nebo cestovn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  <w:tab/>
        <w:t>dokladu fyzick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osoby, kter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ubytov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poskytl.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pisy do eviden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knihy </w:t>
        <w:tab/>
        <w:t>mus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b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t vedeny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ehledn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a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srozumiteln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a mus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b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t uspo</w:t>
      </w:r>
      <w:r>
        <w:rPr>
          <w:rFonts w:ascii="Palatino Linotype" w:cs="Palatino Linotype" w:hAnsi="Palatino Linotype" w:eastAsia="Palatino Linotype"/>
          <w:rtl w:val="0"/>
        </w:rPr>
        <w:t>řá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ny postupn</w:t>
      </w:r>
      <w:r>
        <w:rPr>
          <w:rFonts w:ascii="Palatino Linotype" w:cs="Palatino Linotype" w:hAnsi="Palatino Linotype" w:eastAsia="Palatino Linotype"/>
          <w:rtl w:val="0"/>
        </w:rPr>
        <w:t xml:space="preserve">ě </w:t>
        <w:tab/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 č</w:t>
      </w:r>
      <w:r>
        <w:rPr>
          <w:rFonts w:ascii="Palatino Linotype" w:cs="Palatino Linotype" w:hAnsi="Palatino Linotype" w:eastAsia="Palatino Linotype"/>
          <w:rtl w:val="0"/>
        </w:rPr>
        <w:t>asov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hlediska.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6"/>
      </w:r>
    </w:p>
    <w:p>
      <w:pPr>
        <w:pStyle w:val="Normální"/>
        <w:spacing w:after="10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5</w:t>
      </w:r>
    </w:p>
    <w:p>
      <w:pPr>
        <w:pStyle w:val="Normální"/>
        <w:spacing w:after="10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Sazba poplatku</w:t>
      </w:r>
    </w:p>
    <w:p>
      <w:pPr>
        <w:pStyle w:val="Normální"/>
        <w:spacing w:after="10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Poplatek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 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vyu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it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l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ko a den 4 K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ální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after="10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6</w:t>
      </w:r>
    </w:p>
    <w:p>
      <w:pPr>
        <w:pStyle w:val="Nadpis 1"/>
        <w:spacing w:after="10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Splatnost poplatku</w:t>
      </w:r>
    </w:p>
    <w:p>
      <w:pPr>
        <w:pStyle w:val="Normální"/>
        <w:spacing w:after="10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Poplatek je splatn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nejpozd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ji do posledn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dne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roku.</w:t>
      </w:r>
    </w:p>
    <w:p>
      <w:pPr>
        <w:pStyle w:val="Normální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7</w:t>
      </w:r>
    </w:p>
    <w:p>
      <w:pPr>
        <w:pStyle w:val="Normální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Osvobozen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</w:p>
    <w:p>
      <w:pPr>
        <w:pStyle w:val="Základní text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1)</w:t>
        <w:tab/>
        <w:t>Poplatku nepodl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:</w:t>
      </w:r>
    </w:p>
    <w:p>
      <w:pPr>
        <w:pStyle w:val="Normální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ubytovac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kapacita v 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slou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pro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echodn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ubytov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student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</w:t>
      </w:r>
    </w:p>
    <w:p>
      <w:pPr>
        <w:pStyle w:val="Normální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ubytovac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kapacita v 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slou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pro ubytov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fyzick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a 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vnick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osob, kter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toto 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vlastn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nebo k 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mu maj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vo hospoda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</w:t>
      </w:r>
    </w:p>
    <w:p>
      <w:pPr>
        <w:pStyle w:val="Normální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ubytovac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kapacita ve zdravotnick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nebo 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ze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ch, pokud nejsou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na jako hotelov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</w:t>
      </w:r>
    </w:p>
    <w:p>
      <w:pPr>
        <w:pStyle w:val="Normální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ubytovac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kapacita v 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slou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soci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a charitativn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rtl w:val="0"/>
        </w:rPr>
        <w:t>úč</w:t>
      </w:r>
      <w:r>
        <w:rPr>
          <w:rFonts w:ascii="Palatino Linotype" w:cs="Palatino Linotype" w:hAnsi="Palatino Linotype" w:eastAsia="Palatino Linotype"/>
          <w:rtl w:val="0"/>
        </w:rPr>
        <w:t>el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m.</w:t>
      </w:r>
    </w:p>
    <w:p>
      <w:pPr>
        <w:pStyle w:val="Normální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2)</w:t>
        <w:tab/>
        <w:t>Vznik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roku na osvobozen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od placen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poplatku je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povinen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vci poplatku ozn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mit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semn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do protokolu ve lh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do 15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ode dne, kdy nastala skute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nost zakl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rok na osvobozen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 Stejn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zp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sobem a ve stejn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lh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je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povinen ozn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mit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nik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roku na osvobozen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Čísla článků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8</w:t>
      </w:r>
    </w:p>
    <w:p>
      <w:pPr>
        <w:pStyle w:val="Názvy článků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Nav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poplatku </w:t>
      </w:r>
    </w:p>
    <w:p>
      <w:pPr>
        <w:pStyle w:val="Normální"/>
        <w:spacing w:before="120" w:line="264" w:lineRule="auto"/>
        <w:ind w:firstLine="142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1) </w:t>
        <w:tab/>
        <w:t>Nebudou-li poplatky zaplaceny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kem 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 nebo ve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i, vym</w:t>
      </w:r>
      <w:r>
        <w:rPr>
          <w:rFonts w:ascii="Palatino Linotype" w:cs="Palatino Linotype" w:hAnsi="Palatino Linotype" w:eastAsia="Palatino Linotype"/>
          <w:rtl w:val="0"/>
        </w:rPr>
        <w:t xml:space="preserve">ěří </w:t>
        <w:tab/>
      </w:r>
      <w:r>
        <w:rPr>
          <w:rFonts w:ascii="Palatino Linotype" w:cs="Palatino Linotype" w:hAnsi="Palatino Linotype" w:eastAsia="Palatino Linotype"/>
          <w:rtl w:val="0"/>
        </w:rPr>
        <w:t>mu 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poplatek platebn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rem.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7"/>
      </w:r>
    </w:p>
    <w:p>
      <w:pPr>
        <w:pStyle w:val="Normální"/>
        <w:spacing w:before="120" w:line="264" w:lineRule="auto"/>
        <w:ind w:firstLine="142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2)</w:t>
        <w:tab/>
        <w:t>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 nezaplacen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nebo neodveden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 xml:space="preserve">poplatky nebo </w:t>
      </w:r>
      <w:r>
        <w:rPr>
          <w:rFonts w:ascii="Palatino Linotype" w:cs="Palatino Linotype" w:hAnsi="Palatino Linotype" w:eastAsia="Palatino Linotype"/>
          <w:rtl w:val="0"/>
        </w:rPr>
        <w:t>čá</w:t>
      </w:r>
      <w:r>
        <w:rPr>
          <w:rFonts w:ascii="Palatino Linotype" w:cs="Palatino Linotype" w:hAnsi="Palatino Linotype" w:eastAsia="Palatino Linotype"/>
          <w:rtl w:val="0"/>
        </w:rPr>
        <w:t>st 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chto poplatk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 xml:space="preserve">e </w:t>
        <w:tab/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zv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it a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na trojn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sobek; toto zv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je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enstv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poplatku.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8"/>
      </w:r>
    </w:p>
    <w:p>
      <w:pPr>
        <w:pStyle w:val="Normální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8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1. 9</w:t>
      </w:r>
    </w:p>
    <w:p>
      <w:pPr>
        <w:pStyle w:val="Normální"/>
        <w:spacing w:after="8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innost</w:t>
      </w:r>
    </w:p>
    <w:p>
      <w:pPr>
        <w:pStyle w:val="Normální"/>
        <w:spacing w:after="8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Tato 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ka nab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 úč</w:t>
      </w:r>
      <w:r>
        <w:rPr>
          <w:rFonts w:ascii="Palatino Linotype" w:cs="Palatino Linotype" w:hAnsi="Palatino Linotype" w:eastAsia="Palatino Linotype"/>
          <w:rtl w:val="0"/>
        </w:rPr>
        <w:t>innosti dne 01. ledna 2011.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……………………………………</w:t>
      </w:r>
      <w:r>
        <w:rPr>
          <w:rFonts w:ascii="Palatino Linotype" w:cs="Palatino Linotype" w:hAnsi="Palatino Linotype" w:eastAsia="Palatino Linotype"/>
          <w:rtl w:val="0"/>
        </w:rPr>
        <w:t>..</w:t>
        <w:tab/>
        <w:tab/>
        <w:tab/>
        <w:tab/>
      </w:r>
      <w:r>
        <w:rPr>
          <w:rFonts w:ascii="Palatino Linotype" w:cs="Palatino Linotype" w:hAnsi="Palatino Linotype" w:eastAsia="Palatino Linotype"/>
          <w:rtl w:val="0"/>
        </w:rPr>
        <w:t>………………………………………</w:t>
      </w:r>
    </w:p>
    <w:p>
      <w:pPr>
        <w:pStyle w:val="Normální"/>
        <w:spacing w:after="12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Ing. Ladislav Neuman</w:t>
        <w:tab/>
        <w:tab/>
        <w:tab/>
        <w:tab/>
        <w:t xml:space="preserve">   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</w:t>
      </w:r>
    </w:p>
    <w:p>
      <w:pPr>
        <w:pStyle w:val="Normální"/>
        <w:spacing w:after="12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stostarosta obce</w:t>
        <w:tab/>
        <w:tab/>
        <w:tab/>
        <w:tab/>
        <w:tab/>
        <w:t xml:space="preserve">                 starostka obce</w:t>
      </w: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Vyv</w:t>
      </w:r>
      <w:r>
        <w:rPr>
          <w:rFonts w:ascii="Palatino Linotype" w:cs="Palatino Linotype" w:hAnsi="Palatino Linotype" w:eastAsia="Palatino Linotype"/>
          <w:rtl w:val="0"/>
        </w:rPr>
        <w:t>ěš</w:t>
      </w:r>
      <w:r>
        <w:rPr>
          <w:rFonts w:ascii="Palatino Linotype" w:cs="Palatino Linotype" w:hAnsi="Palatino Linotype" w:eastAsia="Palatino Linotype"/>
          <w:rtl w:val="0"/>
        </w:rPr>
        <w:t xml:space="preserve">eno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desce dne: 18. 12. 2010</w:t>
      </w: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line="288" w:lineRule="auto"/>
      </w:pPr>
      <w:r>
        <w:rPr>
          <w:rFonts w:ascii="Palatino Linotype" w:cs="Palatino Linotype" w:hAnsi="Palatino Linotype" w:eastAsia="Palatino Linotype"/>
          <w:rtl w:val="0"/>
        </w:rPr>
        <w:t>Sejmuto z</w:t>
      </w:r>
      <w:r>
        <w:rPr>
          <w:rFonts w:ascii="Palatino Linotype" w:cs="Palatino Linotype" w:hAnsi="Palatino Linotype" w:eastAsia="Palatino Linotype"/>
          <w:rtl w:val="0"/>
        </w:rPr>
        <w:t> 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desky dne:</w:t>
      </w:r>
    </w:p>
    <w:sectPr>
      <w:headerReference w:type="default" r:id="rId4"/>
      <w:footerReference w:type="default" r:id="rId5"/>
      <w:pgSz w:w="11900" w:h="16840" w:orient="portrait"/>
      <w:pgMar w:top="719" w:right="1304" w:bottom="719" w:left="130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xt pozn. pod čarou"/>
        <w:jc w:val="both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14 odst. 3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č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. 565/1990 Sb.,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ch, ve zn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ě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pozd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ě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j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ší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ř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edpis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(d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„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“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)</w:t>
      </w:r>
    </w:p>
  </w:footnote>
  <w:footnote w:id="2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7 odst. 1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3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14a odst. 1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4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14a odst. 2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5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14a odst. 3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6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7 odst. 3 druh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v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ě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ta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s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 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odkazem na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3 odst. 4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7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11 odst. 1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8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11 odst. 3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(%1)"/>
      <w:lvlJc w:val="left"/>
      <w:pPr>
        <w:tabs>
          <w:tab w:val="left" w:pos="1021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102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021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02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021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2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21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2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kladní text odsazený">
    <w:name w:val="Základní text odsazený"/>
    <w:next w:val="Základní text odsazený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8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 pozn. pod čarou">
    <w:name w:val="Text pozn. pod čarou"/>
    <w:next w:val="Text pozn. pod čaro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Čísla článků">
    <w:name w:val="Čísla článků"/>
    <w:next w:val="Čísla článků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6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ázvy článků">
    <w:name w:val="Názvy článků"/>
    <w:next w:val="Názvy článků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60" w:after="16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2">
    <w:name w:val="Importovaný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