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ad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Hvozdnice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nl-NL"/>
        </w:rPr>
        <w:t>5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106/1999 Sb.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 rok 2012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1)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.j. OUH/OD/20/2012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rok 2012 -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23. 1. 2012</w:t>
      </w:r>
    </w:p>
    <w:p>
      <w:pPr>
        <w:pStyle w:val="Body Text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emu dotazu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luji,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dnou z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 uv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en-US"/>
        </w:rPr>
        <w:t>ch investic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roce 2012 obec Hvozdnice nepl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nuje.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2)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.j. OUH/OD/53/2012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rok 2012-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20. 2. 2012</w:t>
      </w:r>
    </w:p>
    <w:p>
      <w:pPr>
        <w:pStyle w:val="Body Text"/>
      </w:pP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emu dotazu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luji,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roce 2012 obec Hvozdnice nebude realizovat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investi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projekt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jimkou rekonstrukce a intenzifikace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je ji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ve f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zi realizace. Jsme mal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obec o 450 obyvatel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rekonstrukce Mate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 š</w:t>
      </w:r>
      <w:r>
        <w:rPr>
          <w:rFonts w:ascii="Palatino Linotype" w:cs="Palatino Linotype" w:hAnsi="Palatino Linotype" w:eastAsia="Palatino Linotype"/>
          <w:rtl w:val="0"/>
        </w:rPr>
        <w:t>koly z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roku 2010 a loni zapo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at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 xml:space="preserve">intenzifikace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edstavuje do konce volebn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ker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investi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aktivity obce.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