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106/1999 Sb., o svobodn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m, ve zn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1. 1. 2011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Parlament se usnesl na tomto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PRVN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nadpis vypu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zapracov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 Evropsk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1) a upravuje pravidla pro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upravuje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svobodn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stupu k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Povinnost poskytovat informace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subjekty,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povinnost poskytovat informace 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k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sobnosti, jsou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celky a jejich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instituce.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subjekty jsou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ty subjekty,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vech,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vem 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jmech nebo povinnostech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v oblasti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vy, a to pouze v rozsahu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jejich rozhodovac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se nevztahuje na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myslov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vlastnictv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1a),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1b) upravuje jejich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sobu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Povinnost poskytovat informace se net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zory, budouc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vytv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pojmy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adatelem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je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informaci.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stupu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 k informaci neomezen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okruhu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komunikac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ely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koliv obsah 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koliv 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zaznamenan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mkoliv nosi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obsah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 na listin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 zvukov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obrazov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audiovizu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program.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je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znovu vyhled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tiskem nebo 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nosi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dat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pis a uchov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vystaven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desce, s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stupu nebo 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knihovn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knihovnick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informa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podle knihovn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2a).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Doprovodnou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je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zce souvis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adovanou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informace 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existenci,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vodu,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 kterou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kdy bude znovu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rysech).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Poskytov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poskytuj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informace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nebo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Informace poskytovan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poskytuje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tech a jazyc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ve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byla vytvo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ena. Pokud je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i ve 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specifikace je voln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ivatelem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omezov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Je-li informace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poskytuje se ve 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tech a jazyc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podle obsahu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pokud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jinak.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nejsou povinny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nebo jazyk informace, pokud by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byla pro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 tomto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subjekt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poskytne informaci ve 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nebo jazyce, ve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byla vytvo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Pokud je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bylo pro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poskytne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celek v souladu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Pokud je to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 povaze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poskytnou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informaci v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informov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ejnosti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dle 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kopie, tyto informace: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 zalo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a princip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provozuje svoji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popis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struktury,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sob, jak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informace, kde lze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vrh,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 a povinnostech osob,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sto,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sob, kde lze podat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edek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 a povinnostech osob, a 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souvislosti kladeny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popis postup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pravidel,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dodr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innostech, a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formul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 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sto, kde lze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formul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ář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skat,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postup,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dodr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dodr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ehled nejd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podle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rozhoduje,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informace a povinnost poskytovat informace 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vztahu k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subjektu, a 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kde a kdy jsou tyto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poskytnuty k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f) sazebn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 za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g)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kalend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18),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14a odst. 4,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16a odst. 7,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j) adresu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podatelny.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jsou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dle povinny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hodin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stupnit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mci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seznamy hlavn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dokument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koncep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strategick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programov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poskytnuty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smluv 2b)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14a,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a to tak, aby do nich mohl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dnout 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 si opis,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pis nebo kopii.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tyto informace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stup. O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mimo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elektronicky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posta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doprovodnou informaci vyjad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obsah.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jsou povinny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informace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odstavci 1 a 2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stup. Tato povinnost se nevztahuje na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pouze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osobami.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odstavci 2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a) posta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povinnosti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odkazu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sto, kde jsou tyto informace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stup. Strukturu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vedou a spravuj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registry, evidence, seznamy nebo rejst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jsou tyto informace povinny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stup. Na tyto subjekty se pro tento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nevztahuje povinnost zamezit sdru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edpisu. 3a)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Povinnost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informace podle odstavc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 a 5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odkladu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vci port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nebo mu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Formu a 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informace podle odstavce 1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i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soby a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jimkami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v tomto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i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6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Povinnost odk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zat na 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nou informaci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k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co nejd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ve,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do sedmi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mu ji poskytne.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7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Ochrana utajovan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Je-li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v souladu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4)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za utajovanou informaci,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stup,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ji neposkytne.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8a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Informace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osobnosti, projev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povahy, soukrom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a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poskytne jen v souladu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upravuj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jejich ochranu 4a).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8b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jemci 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poskytne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4b) o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poskytl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edky.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odstavce 1 se nevztahuje na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oblasti 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hmotn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stnanosti,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podpory stavebn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4c).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podle odstavce 1 se poskytnou pouze v tomto rozsahu: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rok narozen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obec, kde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jemce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pobyt,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9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Ochrana obchodn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tajemstv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Pokud je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tajemstv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6),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ji neposkytne.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nepova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o rozsahu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tajemstv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10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Ochrana 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rnosti majetkov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pom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Informace o majetkov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rech 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subjektem,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poplatc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penzijn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neposkytne.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11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omezen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va na informace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omezit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informace, pokud: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se vztahuje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vnit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pokyn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person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jde o novou informaci,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vznikla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subjektu, pokud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jinak; to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do doby, kdy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prava ukon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nebo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jde o informaci poskytnutou Organizac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Severoatlantick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nebo Evropskou uni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nebo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vodci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„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NATO UNCLASSIFIED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“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„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LIMITE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“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republice je toto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respektov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eskou republiku z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Organizaci Severoatlantick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nebo Evropsk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unii, pokud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vodce nedal k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 8a).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informaci neposkytne, pokud: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jde o informaci vzniklou bez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osobou,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takovouto povinnost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nesd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lila,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informace 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ji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9) a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pravideln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nejbli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obdob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by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byla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ochrana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2b).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skal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od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mci kontroln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dozorov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dohledov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edpisu 11), podle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se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vztahuje povinnost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enlivosti anebo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 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zneu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se neposkytuj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poskytne pouze ty 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vznikly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neposkytnou informace 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rozhodovac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soud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rozsudk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zpravodajsk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eb, 12)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a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kontrol v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nech Nejvy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kontroln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Ministerstva financ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proti legalizaci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a financov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terorismu nebo 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sankc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13) o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oblastech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nejsou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neposkytne informaci,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vem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") 2b), je-li v 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provozovatel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rozhlasov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televizn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toto vys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provozuj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13a),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kol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soustavy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13b) a 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 vysok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13c),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knihoven poskytuj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knihovnick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informa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podle knihovn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2a),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Akademie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instituc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jemci nebo spolup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jemci podpory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zkumu 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voje z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 podpo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zkumu 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voje 13d), nebo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kulturn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instituc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hospoda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edky, jako jsou muzea, galerie, divadla, orchestry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soubory.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souladu se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subjekt neposkytne informaci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spis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to i spis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dokument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 postupu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vznikly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osob, majetku 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du, pokud by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ohrozila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anebo schopnost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zet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innosti, vyhled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vat nebo odhalovat trestnou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nebo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hat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iny nebo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nejsou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13e).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12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Podm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nky omezen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echna omezen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 informace provede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subjekt 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poskytne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doprovodn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informaci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pouze po dobu, po kterou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zda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dost o poskytnut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to i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komunikac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informace poskytnuta anebo nepova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 informaci poskytnutou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za dosta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eba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16a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18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pouze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Postup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 pod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vy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izov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poskytnut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je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dnem, kdy ji 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 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ena,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ve smyslu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osoba uvede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narozen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adresu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 nebo,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k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pobytu, adresu bydli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od adresy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 nebo bydli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uvede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zev, identifika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osoby, adresu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a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od adresy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dla. Adresou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Je-li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elektronicky,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podatelny 13f)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subjektu, pokud ji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dil. Pokud adresa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podatelny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posta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jakoukoliv elektronickou adresu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Neobsahuje-li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podle odstavce 2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podle odstavce 3,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smyslu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posoud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a: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nedostatek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podle odstavce 2 postupu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informaci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14a nebo 15, vyzve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7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dosti, aby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doplnil; nevyhov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nesrozumiteln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je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nebo je formulov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vyzve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sedmi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dosti, aby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esnil, neup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zvy, rozhodne 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se nevztahuj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jeho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tuto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7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d) nerozhodne-li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15, poskytne informaci v souladu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nebo ode dne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je-li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licence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14a,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kone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O postupu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pro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podle odstavce 5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d)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nejv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o deset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jsou: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vyhled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odd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adovny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 objemn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mno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odli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konzultace 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subjektem,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nebo mezi dv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kami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 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i o jeho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vodech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a 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14a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licen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nebo podlicen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smlouv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 poskytov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2b), poskytnuta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podlicen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a majetkov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uveden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11 odst. 5, postupuje se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cech neupraven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podle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2b) 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informaci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hrada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jinak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 nebo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mezi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subjektem 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kdo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na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evedl.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v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podlicen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smlouva")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informace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adatelem v souladu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jinak. Licence nebo podlicence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"licence") se poskytuje jako nev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odstavce 4.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poskytnout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licenci pouze tehdy, je-li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 pro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je-li to ve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jmu. Poskytne-li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licenci podle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alespo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 roky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byla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 poskytnuta.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 vzor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sobena konkr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a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ita jako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na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Na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smluv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se nevztahuje ochrana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tajemstv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dosti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Pokud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subjekt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by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jen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sti, nevyhov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dosti"),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kdy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Pokud nebylo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ochrany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tajemstv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9 nebo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11 odst. 2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c),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uvedeno, kdo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k tomuto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tajemstv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kdo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majetkov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k tomuto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je-li tato osoba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 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lze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spolu se spisov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lem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rozhodne 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subjektem.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pro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rozkladu je 15 pracovn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rozkladu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nelze 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aloby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edpisu soud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zda jsou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pro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dosti. Nejsou-li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pro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soud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 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a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poskytnout.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16a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nost na postup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 vy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izov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dosti o informace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na postup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informace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nost")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6,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ty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5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sm. d)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7 nebyla poskytnuta informace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kone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dka a nebylo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byla informace poskytnuta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bylo o zbytku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hrady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 odst. 3 nebo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14a odst. 2,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v souvislosti s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lze podat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je-li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nelze-li ji ihned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dit, sep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subjektu, a to 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5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sm. c)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 odst. 3,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informace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5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sm. d)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7.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rozhoduje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spolu se spisov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lem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do 7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mu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la, pokud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zcela nevyhov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poskytne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adovanou informaci nebo kone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dku, nebo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podle odstavce 1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a), b) nebo c)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subjektu a rozhodne 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postup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 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aby ve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dil,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kone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dku, nebo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evezme a informaci poskytne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dosti; tento postup nelze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podle odstavce 1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d)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subjektu a rozhodne 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hrady nebo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hrady nebo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tento postup nelze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sobnosti, nebo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aby ve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zjednal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pravu, jde-li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nebo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za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informace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celkem v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rozhodne 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mu 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(9)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odstavc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 a 7 se oznamuje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a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subjektu.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podle odstavc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6 a 7 se nelze odvolat. Jde-li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odstavce 6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c), nelze se odvolat pouze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 rozhodl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178 odst. 2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du nebo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20 odst. 5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(10) Je-li poskytnuta informace podle odstavce 6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sm. c),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ve smyslu odstavce 1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a) nebo c) postupovat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Hrazen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subjekty jsou v souvislosti s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hnout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spojen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kopi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technick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nosi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a s odesl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adateli.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dat 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za mimo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byla v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nelze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adovat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bude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za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adovat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spolu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informace. Z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byla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subjektem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Nespln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oznamovac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podle odstavce 3, ztr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podle odstavce 3 je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zaplacen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hrady.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do 60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nezaplat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subjekt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 dobu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proti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hrady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podle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hrada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18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va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do 1.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ezna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kalend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daje: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informace 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opis podstatn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rozsudku soudu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 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ehled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vynalo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v souvislosti se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 a povinnostech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a 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stnance 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licenc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nezbytnosti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16a,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jejich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stru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popis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sobu jejich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f)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k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povinnost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informace 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innosti,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podle odstavce 1 do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jako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samostatnou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zvem "Poskytov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stupu k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m".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19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stupu k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zachov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kony. 15)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DRUH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ECHODN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20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Povinnost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2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dnem 1. ledna 2001. Pro obce,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sty, 16) povinnost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2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dnem 1. ledna 2002.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Povinnost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3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dnem 1. ledna 2002.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pro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[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3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c)] a 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(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odst. 5) se 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12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od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prodlu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dvojn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sobek,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12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prodlu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polovinu.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Pokud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jinak,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pro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pro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pro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17);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178;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 nepou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Nelze-li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178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rozhoduje v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ten, kdo stoj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subjektu.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Informace,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celku, poskytuj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21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s obcemi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sady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 a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za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Ministerstvo vnitra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strukturu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subjektu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1 a 2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osnovu popisu postup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1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d),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formu a 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6.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22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innost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dnem 1. ledna 2000.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Klaus v. r.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Havel v. r.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Zeman v. r.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Vybran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novel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l.II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61/2006 Sb.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echodn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1. Pro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subjekt 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 dnem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se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2. 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podlicen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jimi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poskytnuta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poskytov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106/1999 Sb.,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 dne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byly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 dnem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pozb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sjednan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doby, nejd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31. prosince 2008.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____________________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1)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rnice Evropsk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parlamentu a Rady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2003/98/ES ze dne 17. listopadu 2003 o opakovan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sektoru.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1a)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527/1990 Sb., o vyn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lezech a zlep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529/1991 Sb., 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topografi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polovodi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robk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478/1992 Sb., 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vzorech,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452/2001 Sb., 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a 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pisn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ebitele,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441/2003 Sb., o ochrann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6/2002 Sb., o soudech, soudc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soudech a soudc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ochrann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501/2004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1b)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123/1998 Sb.,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vu na informace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344/1992 Sb., o katastru nemovitost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(katastr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h) a n)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127/2005 Sb., 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komunikac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komunikac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2a)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257/2001 Sb., o knihovn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provozov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knihovnick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informa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 (knihovn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1/2005 Sb..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2b)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121/2000 Sb.,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vem 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(autorsk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81/2005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3a)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1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h)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101/2000 Sb., 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412/2005 Sb., 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utajovan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sobilosti.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4a)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11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a 10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101/2000 Sb., 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4b)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odst. 2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a)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101/2000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4c)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155/1995 Sb., 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48/1997 Sb.,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117/1995 Sb.,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100/1988 Sb., o 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96/1993 Sb., o stavebn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stavebn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12/2001 Sb.,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jinou pohromou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363/1999 Sb., o poji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513/1991 Sb.,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24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337/1992 Sb., 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poplatk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23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592/1992 Sb., o pojistn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582/1991 Sb., o organizaci 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24a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551/1991 Sb., 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117/1995 Sb.,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8a)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64a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499/2004 Sb., o archivnictv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spisov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32/2008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9)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89/1995 Sb.,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statistick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6/1993 Sb.,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bance,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11)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552/1991 Sb.,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kontrole,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15/1998 Sb., o Komisi pro cenn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ry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64/1986 Sb.,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inspekci,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133/1985 Sb., 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a 8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153/1994 Sb., o zpravodajsk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118/1995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141/1961 Sb.,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292/1993 Sb.,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45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166/1993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13a)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483/1991 Sb.,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televizi,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484/1991 Sb.,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rozhlasu,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13b)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561/2004 Sb.,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13c)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111/1998 Sb., o vysok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vysok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13d)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 odst. 2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b) a c)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130/2002 Sb., o podpo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zkumu 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voje z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podpo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zkumu 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voje).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13e)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141/1961 Sb.,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218/2003 Sb., o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dnosti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za protipr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iny a soudnictv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cech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13f)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sm. y)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227/2000 Sb., 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podpisu,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440/2004 Sb.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15/1998 Sb.,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90/1995 Sb., o jednac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Poslaneck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movny,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199/1994 Sb., o zad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zek,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283/1993 Sb.,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6/1993 Sb.,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367/1990 Sb., o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(obecn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17)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500/2004 Sb.,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d.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